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60D8" w14:textId="77777777" w:rsidR="00ED16D7" w:rsidRDefault="00ED16D7"/>
    <w:p w14:paraId="5592306F" w14:textId="77777777" w:rsidR="00ED16D7" w:rsidRDefault="00ED16D7">
      <w:pPr>
        <w:ind w:left="720"/>
      </w:pPr>
    </w:p>
    <w:p w14:paraId="6458F6BA" w14:textId="77777777" w:rsidR="00ED16D7" w:rsidRDefault="00ED16D7">
      <w:pPr>
        <w:ind w:left="720"/>
      </w:pPr>
    </w:p>
    <w:p w14:paraId="43FE26B2" w14:textId="77777777" w:rsidR="00ED16D7" w:rsidRDefault="00ED16D7">
      <w:pPr>
        <w:ind w:left="720"/>
      </w:pPr>
    </w:p>
    <w:p w14:paraId="081F4E70" w14:textId="77777777" w:rsidR="00ED16D7" w:rsidRDefault="00ED16D7">
      <w:pPr>
        <w:ind w:left="720"/>
      </w:pPr>
    </w:p>
    <w:p w14:paraId="3410D503" w14:textId="77777777" w:rsidR="00ED16D7" w:rsidRDefault="0066521D">
      <w:pPr>
        <w:numPr>
          <w:ilvl w:val="0"/>
          <w:numId w:val="1"/>
        </w:numPr>
      </w:pPr>
      <w:r>
        <w:t>Name of the TC</w:t>
      </w:r>
      <w:r>
        <w:br/>
      </w:r>
      <w:r>
        <w:br/>
        <w:t>Threat Actor Context (TAC) Technical Committee</w:t>
      </w:r>
      <w:r>
        <w:br/>
      </w:r>
      <w:r>
        <w:br/>
      </w:r>
    </w:p>
    <w:p w14:paraId="04C8A205" w14:textId="77777777" w:rsidR="00ED16D7" w:rsidRDefault="0066521D">
      <w:pPr>
        <w:numPr>
          <w:ilvl w:val="0"/>
          <w:numId w:val="1"/>
        </w:numPr>
      </w:pPr>
      <w:r>
        <w:rPr>
          <w:color w:val="0A2540"/>
        </w:rPr>
        <w:t>Statement of Purpose</w:t>
      </w:r>
      <w:r>
        <w:rPr>
          <w:color w:val="0A2540"/>
        </w:rPr>
        <w:br/>
      </w:r>
      <w:r>
        <w:rPr>
          <w:color w:val="0A2540"/>
        </w:rPr>
        <w:br/>
      </w:r>
      <w:r>
        <w:rPr>
          <w:color w:val="0A2540"/>
        </w:rPr>
        <w:t xml:space="preserve">The TAC TC aims to resolve ambiguity and enable interoperability across different threat-intelligence-relevant information sources and technological solutions to support organizing what is known about threat actors and their activities </w:t>
      </w:r>
      <w:r>
        <w:rPr>
          <w:color w:val="0A2540"/>
        </w:rPr>
        <w:br/>
      </w:r>
      <w:r>
        <w:rPr>
          <w:color w:val="0A2540"/>
        </w:rPr>
        <w:br/>
        <w:t>The work of the TA</w:t>
      </w:r>
      <w:r>
        <w:rPr>
          <w:color w:val="0A2540"/>
        </w:rPr>
        <w:t xml:space="preserve">C TC is also aligned with the scope of the CTI TC to create information representations and protocols that address the need to model, </w:t>
      </w:r>
      <w:proofErr w:type="spellStart"/>
      <w:r>
        <w:rPr>
          <w:color w:val="0A2540"/>
        </w:rPr>
        <w:t>analyze</w:t>
      </w:r>
      <w:proofErr w:type="spellEnd"/>
      <w:r>
        <w:rPr>
          <w:color w:val="0A2540"/>
        </w:rPr>
        <w:t>, and share cyber threat intelligence in cyber-relevant time. The TAC focuses on the expansion of the representatio</w:t>
      </w:r>
      <w:r>
        <w:rPr>
          <w:color w:val="0A2540"/>
        </w:rPr>
        <w:t>ns of the adversaries.</w:t>
      </w:r>
      <w:r>
        <w:rPr>
          <w:color w:val="0A2540"/>
        </w:rPr>
        <w:br/>
      </w:r>
      <w:r>
        <w:rPr>
          <w:color w:val="0A2540"/>
        </w:rPr>
        <w:br/>
        <w:t>To resolve ambiguity TAC will establish a common knowledge framework that enables semantic interoperability of threat actor contextual information and will involve representation enhancements that run across the strategic, operation</w:t>
      </w:r>
      <w:r>
        <w:rPr>
          <w:color w:val="0A2540"/>
        </w:rPr>
        <w:t xml:space="preserve">al, and tactical intelligence levels for use by public and private sector entities defending networks and endpoints. TAC will establish one or more Open Repositories under the OASIS rules. </w:t>
      </w:r>
      <w:hyperlink r:id="rId5">
        <w:r>
          <w:rPr>
            <w:color w:val="2248E5"/>
            <w:u w:val="single"/>
          </w:rPr>
          <w:t>https://www.oasis-open.org/resources/open-repositories/faq</w:t>
        </w:r>
      </w:hyperlink>
      <w:r>
        <w:rPr>
          <w:color w:val="0A2540"/>
        </w:rPr>
        <w:t>.</w:t>
      </w:r>
      <w:r>
        <w:rPr>
          <w:color w:val="0A2540"/>
        </w:rPr>
        <w:br/>
      </w:r>
      <w:r>
        <w:rPr>
          <w:color w:val="0A2540"/>
        </w:rPr>
        <w:br/>
      </w:r>
      <w:r>
        <w:rPr>
          <w:color w:val="0A2540"/>
          <w:u w:val="single"/>
        </w:rPr>
        <w:t>Business Benefits</w:t>
      </w:r>
      <w:r>
        <w:rPr>
          <w:color w:val="0A2540"/>
          <w:u w:val="single"/>
        </w:rPr>
        <w:br/>
      </w:r>
      <w:r>
        <w:rPr>
          <w:color w:val="0A2540"/>
        </w:rPr>
        <w:br/>
        <w:t>Organizations that currently share Cyber Threat Intelligence (CTI) are confronted with multiple schemas and share through multiple tools. This limits an organization</w:t>
      </w:r>
      <w:r>
        <w:rPr>
          <w:color w:val="0A2540"/>
        </w:rPr>
        <w:t xml:space="preserve">'s ability to strategically correlate and </w:t>
      </w:r>
      <w:proofErr w:type="spellStart"/>
      <w:r>
        <w:rPr>
          <w:color w:val="0A2540"/>
        </w:rPr>
        <w:t>analyze</w:t>
      </w:r>
      <w:proofErr w:type="spellEnd"/>
      <w:r>
        <w:rPr>
          <w:color w:val="0A2540"/>
        </w:rPr>
        <w:t xml:space="preserve"> attack data, which could lead to a better understanding of their adversary's goals, capabilities, and trends in targeting and techniques.</w:t>
      </w:r>
      <w:r>
        <w:rPr>
          <w:color w:val="0A2540"/>
        </w:rPr>
        <w:br/>
      </w:r>
      <w:r>
        <w:rPr>
          <w:color w:val="0A2540"/>
        </w:rPr>
        <w:br/>
        <w:t>TAC TC seeks to provide semantic extensions for the STIX 2.x data m</w:t>
      </w:r>
      <w:r>
        <w:rPr>
          <w:color w:val="0A2540"/>
        </w:rPr>
        <w:t>odel thereby allowing for semantic graph representation for the CTI community.</w:t>
      </w:r>
      <w:r>
        <w:rPr>
          <w:color w:val="0A2540"/>
        </w:rPr>
        <w:br/>
      </w:r>
      <w:r>
        <w:rPr>
          <w:color w:val="0A2540"/>
        </w:rPr>
        <w:br/>
        <w:t>Semantic interoperability is the ability of computer systems to exchange data unambiguously. This enables machine computable logic, inferencing, knowledge discovery, and data f</w:t>
      </w:r>
      <w:r>
        <w:rPr>
          <w:color w:val="0A2540"/>
        </w:rPr>
        <w:t>ederation between information systems.</w:t>
      </w:r>
      <w:r>
        <w:rPr>
          <w:color w:val="0A2540"/>
        </w:rPr>
        <w:br/>
      </w:r>
      <w:r>
        <w:rPr>
          <w:color w:val="0A2540"/>
        </w:rPr>
        <w:br/>
        <w:t>We are defining terms about Threat Actors to provide semantic interoperability between the variety of systems contributing threat intelligence. This is a significant benefit to existing open sources such as MITRE’s A</w:t>
      </w:r>
      <w:r>
        <w:rPr>
          <w:color w:val="0A2540"/>
        </w:rPr>
        <w:t>TT&amp;CK and MISP Galaxy by strengthening their abilities to corroborate and cross-reference with other repositories.</w:t>
      </w:r>
      <w:r>
        <w:rPr>
          <w:color w:val="0A2540"/>
        </w:rPr>
        <w:br/>
      </w:r>
      <w:r>
        <w:rPr>
          <w:color w:val="0A2540"/>
        </w:rPr>
        <w:br/>
        <w:t>The deliverables of this TC will be a benefit to the users of threat intelligence provided by sources which use different standards or knowl</w:t>
      </w:r>
      <w:r>
        <w:rPr>
          <w:color w:val="0A2540"/>
        </w:rPr>
        <w:t>edge representations. This enhances the usability of STIX by providing a bridge to other representations. Contributors, including both open source and proprietary, would be able to share the content descriptions and assertions regarding specific Threat Act</w:t>
      </w:r>
      <w:r>
        <w:rPr>
          <w:color w:val="0A2540"/>
        </w:rPr>
        <w:t xml:space="preserve">ors, Campaigns and Intrusion Sets and other SDOs. Users would gain access to a high-quality, harmonized data set that enables organizations to conduct a "competitive analysis" of their adversaries </w:t>
      </w:r>
      <w:proofErr w:type="gramStart"/>
      <w:r>
        <w:rPr>
          <w:color w:val="0A2540"/>
        </w:rPr>
        <w:t>in order to</w:t>
      </w:r>
      <w:proofErr w:type="gramEnd"/>
      <w:r>
        <w:rPr>
          <w:color w:val="0A2540"/>
        </w:rPr>
        <w:t xml:space="preserve"> react more quickly to and possibly anticipate c</w:t>
      </w:r>
      <w:r>
        <w:rPr>
          <w:color w:val="0A2540"/>
        </w:rPr>
        <w:t xml:space="preserve">hanges in the adversary activities. This would </w:t>
      </w:r>
      <w:r>
        <w:rPr>
          <w:color w:val="0A2540"/>
        </w:rPr>
        <w:lastRenderedPageBreak/>
        <w:t>benefit decision-making for risk management as well as resource allocation.</w:t>
      </w:r>
      <w:r>
        <w:rPr>
          <w:color w:val="0A2540"/>
        </w:rPr>
        <w:br/>
      </w:r>
      <w:r>
        <w:rPr>
          <w:color w:val="0A2540"/>
        </w:rPr>
        <w:br/>
        <w:t>The TAC Open Repository TC would allow for both OASIS Members and non-Members to contribute subject to the CLA terms and conditions.</w:t>
      </w:r>
      <w:r>
        <w:rPr>
          <w:color w:val="0A2540"/>
        </w:rPr>
        <w:br/>
      </w:r>
      <w:r>
        <w:rPr>
          <w:color w:val="0A2540"/>
        </w:rPr>
        <w:br/>
      </w:r>
    </w:p>
    <w:p w14:paraId="1FFC49B3" w14:textId="77777777" w:rsidR="00ED16D7" w:rsidRDefault="0066521D">
      <w:pPr>
        <w:numPr>
          <w:ilvl w:val="0"/>
          <w:numId w:val="1"/>
        </w:numPr>
      </w:pPr>
      <w:r>
        <w:t>Scope of Work</w:t>
      </w:r>
      <w:r>
        <w:br/>
        <w:t xml:space="preserve">The purpose of this TC is to create a knowledge framework that enables semantic interoperability of threat actor contextual information. In other words, the purpose of the TAC TC is to help the community have coherent conversations in the </w:t>
      </w:r>
      <w:r>
        <w:t>STIX language and other emerging representations.</w:t>
      </w:r>
      <w:r>
        <w:br/>
      </w:r>
      <w:r>
        <w:br/>
        <w:t>The scope of this TC’s efforts will include:</w:t>
      </w:r>
    </w:p>
    <w:p w14:paraId="2CA40E21" w14:textId="77777777" w:rsidR="00ED16D7" w:rsidRDefault="0066521D">
      <w:pPr>
        <w:numPr>
          <w:ilvl w:val="1"/>
          <w:numId w:val="1"/>
        </w:numPr>
      </w:pPr>
      <w:r>
        <w:t>Defining and documenting concepts that provide best practices and guidelines to remove ambiguity from STIX documents produced by different authors (</w:t>
      </w:r>
      <w:proofErr w:type="gramStart"/>
      <w:r>
        <w:t>e.g.</w:t>
      </w:r>
      <w:proofErr w:type="gramEnd"/>
      <w:r>
        <w:t xml:space="preserve"> Intrusi</w:t>
      </w:r>
      <w:r>
        <w:t>on Set naming conventions)</w:t>
      </w:r>
    </w:p>
    <w:p w14:paraId="2CBEC103" w14:textId="77777777" w:rsidR="00ED16D7" w:rsidRDefault="0066521D">
      <w:pPr>
        <w:numPr>
          <w:ilvl w:val="1"/>
          <w:numId w:val="1"/>
        </w:numPr>
      </w:pPr>
      <w:r>
        <w:t xml:space="preserve">Identify appropriate extensions that are </w:t>
      </w:r>
      <w:proofErr w:type="gramStart"/>
      <w:r>
        <w:t>need</w:t>
      </w:r>
      <w:proofErr w:type="gramEnd"/>
      <w:r>
        <w:t xml:space="preserve"> to operationalize STIX 2.x threat information including but not limited to:</w:t>
      </w:r>
    </w:p>
    <w:p w14:paraId="2CFF4C55" w14:textId="77777777" w:rsidR="00ED16D7" w:rsidRDefault="0066521D">
      <w:pPr>
        <w:numPr>
          <w:ilvl w:val="2"/>
          <w:numId w:val="1"/>
        </w:numPr>
      </w:pPr>
      <w:r>
        <w:t>Strategic Context</w:t>
      </w:r>
    </w:p>
    <w:p w14:paraId="59203437" w14:textId="77777777" w:rsidR="00ED16D7" w:rsidRDefault="0066521D">
      <w:pPr>
        <w:numPr>
          <w:ilvl w:val="2"/>
          <w:numId w:val="1"/>
        </w:numPr>
      </w:pPr>
      <w:r>
        <w:t>Operational Context</w:t>
      </w:r>
    </w:p>
    <w:p w14:paraId="43800BEE" w14:textId="77777777" w:rsidR="00ED16D7" w:rsidRDefault="0066521D">
      <w:pPr>
        <w:numPr>
          <w:ilvl w:val="2"/>
          <w:numId w:val="1"/>
        </w:numPr>
      </w:pPr>
      <w:r>
        <w:t>Tactical Context</w:t>
      </w:r>
    </w:p>
    <w:p w14:paraId="22567D28" w14:textId="77777777" w:rsidR="00ED16D7" w:rsidRDefault="0066521D">
      <w:pPr>
        <w:numPr>
          <w:ilvl w:val="2"/>
          <w:numId w:val="1"/>
        </w:numPr>
      </w:pPr>
      <w:r>
        <w:t>Motivational Context</w:t>
      </w:r>
    </w:p>
    <w:p w14:paraId="6B0C3D3F" w14:textId="77777777" w:rsidR="00ED16D7" w:rsidRDefault="0066521D">
      <w:pPr>
        <w:numPr>
          <w:ilvl w:val="1"/>
          <w:numId w:val="1"/>
        </w:numPr>
      </w:pPr>
      <w:r>
        <w:t>Providing algorithms to align s</w:t>
      </w:r>
      <w:r>
        <w:t>chema is an aspirational activity of this TC.</w:t>
      </w:r>
    </w:p>
    <w:p w14:paraId="4F96924C" w14:textId="77777777" w:rsidR="00ED16D7" w:rsidRDefault="0066521D">
      <w:pPr>
        <w:numPr>
          <w:ilvl w:val="1"/>
          <w:numId w:val="1"/>
        </w:numPr>
      </w:pPr>
      <w:r>
        <w:t>Hosting one or multiple OASIS Open Repositories of Threat Actor information in STIX 2.x format. The intent is to facilitate schema alignment.</w:t>
      </w:r>
    </w:p>
    <w:p w14:paraId="5E77438D" w14:textId="77777777" w:rsidR="00ED16D7" w:rsidRDefault="0066521D">
      <w:pPr>
        <w:numPr>
          <w:ilvl w:val="2"/>
          <w:numId w:val="1"/>
        </w:numPr>
      </w:pPr>
      <w:r>
        <w:t>Facilitating disparate contributors to submit contributions of Threa</w:t>
      </w:r>
      <w:r>
        <w:t>t Actor information that is aligned with the repository schema is within the scope of this TC.</w:t>
      </w:r>
    </w:p>
    <w:p w14:paraId="20675F2D" w14:textId="77777777" w:rsidR="00ED16D7" w:rsidRDefault="0066521D">
      <w:pPr>
        <w:numPr>
          <w:ilvl w:val="3"/>
          <w:numId w:val="1"/>
        </w:numPr>
      </w:pPr>
      <w:r>
        <w:t>Mechanisms to allow for metadata to describe the source of the contribution are considered within scope (e.g., data markings, etc).</w:t>
      </w:r>
    </w:p>
    <w:p w14:paraId="38BB0ADA" w14:textId="77777777" w:rsidR="00ED16D7" w:rsidRDefault="0066521D">
      <w:pPr>
        <w:numPr>
          <w:ilvl w:val="1"/>
          <w:numId w:val="1"/>
        </w:numPr>
      </w:pPr>
      <w:r>
        <w:t>Validation, confirmation, cur</w:t>
      </w:r>
      <w:r>
        <w:t>ation, or quality control of the contributors’ assertions into the repository is not within the scope of this TC.</w:t>
      </w:r>
    </w:p>
    <w:p w14:paraId="7A9C2E4D" w14:textId="77777777" w:rsidR="00ED16D7" w:rsidRDefault="00ED16D7">
      <w:pPr>
        <w:numPr>
          <w:ilvl w:val="1"/>
          <w:numId w:val="1"/>
        </w:numPr>
      </w:pPr>
    </w:p>
    <w:p w14:paraId="54A92965" w14:textId="77777777" w:rsidR="00ED16D7" w:rsidRDefault="0066521D">
      <w:pPr>
        <w:numPr>
          <w:ilvl w:val="0"/>
          <w:numId w:val="1"/>
        </w:numPr>
      </w:pPr>
      <w:r>
        <w:t>The base data model for the TAC data store would stem from the STIX 2.x Threat Actor SDO, the Campaign SDO, the Intrusion Set SDO and the Ind</w:t>
      </w:r>
      <w:r>
        <w:t>icator SDO (including patterning) at a minimum. This will provide a uniform interface for integration of schema and content from multiple credible sources.</w:t>
      </w:r>
      <w:r>
        <w:br/>
      </w:r>
      <w:r>
        <w:br/>
      </w:r>
    </w:p>
    <w:p w14:paraId="78A5F768" w14:textId="77777777" w:rsidR="00ED16D7" w:rsidRDefault="0066521D">
      <w:pPr>
        <w:numPr>
          <w:ilvl w:val="0"/>
          <w:numId w:val="1"/>
        </w:numPr>
      </w:pPr>
      <w:r>
        <w:t>Deliverables</w:t>
      </w:r>
      <w:r>
        <w:br/>
      </w:r>
    </w:p>
    <w:p w14:paraId="12114A51" w14:textId="77777777" w:rsidR="00ED16D7" w:rsidRDefault="0066521D">
      <w:pPr>
        <w:numPr>
          <w:ilvl w:val="1"/>
          <w:numId w:val="1"/>
        </w:numPr>
      </w:pPr>
      <w:r>
        <w:t>Ontology Specification Repository</w:t>
      </w:r>
    </w:p>
    <w:p w14:paraId="3C5CD0E1" w14:textId="77777777" w:rsidR="00ED16D7" w:rsidRDefault="0066521D">
      <w:pPr>
        <w:numPr>
          <w:ilvl w:val="2"/>
          <w:numId w:val="1"/>
        </w:numPr>
      </w:pPr>
      <w:r>
        <w:t>Formal Ontology Implementation</w:t>
      </w:r>
    </w:p>
    <w:p w14:paraId="4FC61E34" w14:textId="77777777" w:rsidR="00ED16D7" w:rsidRDefault="0066521D">
      <w:pPr>
        <w:numPr>
          <w:ilvl w:val="3"/>
          <w:numId w:val="1"/>
        </w:numPr>
      </w:pPr>
      <w:r>
        <w:t xml:space="preserve">OWL Representation </w:t>
      </w:r>
      <w:r>
        <w:t>of the STIX 2.x Specification</w:t>
      </w:r>
    </w:p>
    <w:p w14:paraId="7E81A241" w14:textId="77777777" w:rsidR="00ED16D7" w:rsidRDefault="0066521D">
      <w:pPr>
        <w:numPr>
          <w:ilvl w:val="4"/>
          <w:numId w:val="1"/>
        </w:numPr>
      </w:pPr>
      <w:r>
        <w:t>STIX Semantic Expression Ontology Documentary</w:t>
      </w:r>
    </w:p>
    <w:p w14:paraId="4E3A90FF" w14:textId="77777777" w:rsidR="00ED16D7" w:rsidRDefault="0066521D">
      <w:pPr>
        <w:numPr>
          <w:ilvl w:val="3"/>
          <w:numId w:val="1"/>
        </w:numPr>
      </w:pPr>
      <w:r>
        <w:t>OWL Representation of the TAC Ontology</w:t>
      </w:r>
    </w:p>
    <w:p w14:paraId="37D96A5E" w14:textId="77777777" w:rsidR="00ED16D7" w:rsidRDefault="0066521D">
      <w:pPr>
        <w:numPr>
          <w:ilvl w:val="2"/>
          <w:numId w:val="1"/>
        </w:numPr>
      </w:pPr>
      <w:r>
        <w:t>Specification Documentation</w:t>
      </w:r>
    </w:p>
    <w:p w14:paraId="2AD268EC" w14:textId="77777777" w:rsidR="00ED16D7" w:rsidRDefault="0066521D">
      <w:pPr>
        <w:numPr>
          <w:ilvl w:val="3"/>
          <w:numId w:val="1"/>
        </w:numPr>
      </w:pPr>
      <w:r>
        <w:t>TAC Ontology Specification Document</w:t>
      </w:r>
    </w:p>
    <w:p w14:paraId="650FF83A" w14:textId="77777777" w:rsidR="00ED16D7" w:rsidRDefault="0066521D">
      <w:pPr>
        <w:numPr>
          <w:ilvl w:val="3"/>
          <w:numId w:val="1"/>
        </w:numPr>
      </w:pPr>
      <w:r>
        <w:t>STIX Semantic Expression Ontology Document</w:t>
      </w:r>
    </w:p>
    <w:p w14:paraId="30B2C8C0" w14:textId="77777777" w:rsidR="00ED16D7" w:rsidRDefault="0066521D">
      <w:pPr>
        <w:numPr>
          <w:ilvl w:val="1"/>
          <w:numId w:val="1"/>
        </w:numPr>
      </w:pPr>
      <w:r>
        <w:t>Additional types, vocabularies, taxonomies, and ontologies that extend the STIX 2.x standard, such as, but not limited to:</w:t>
      </w:r>
    </w:p>
    <w:p w14:paraId="55CC3501" w14:textId="77777777" w:rsidR="00ED16D7" w:rsidRDefault="0066521D">
      <w:pPr>
        <w:numPr>
          <w:ilvl w:val="2"/>
          <w:numId w:val="1"/>
        </w:numPr>
      </w:pPr>
      <w:r>
        <w:t>Threat Actor subtypes</w:t>
      </w:r>
    </w:p>
    <w:p w14:paraId="161A5D9A" w14:textId="77777777" w:rsidR="00ED16D7" w:rsidRDefault="0066521D">
      <w:pPr>
        <w:numPr>
          <w:ilvl w:val="2"/>
          <w:numId w:val="1"/>
        </w:numPr>
      </w:pPr>
      <w:r>
        <w:t>Industry Sectors</w:t>
      </w:r>
    </w:p>
    <w:p w14:paraId="0C85A88D" w14:textId="77777777" w:rsidR="00ED16D7" w:rsidRDefault="0066521D">
      <w:pPr>
        <w:numPr>
          <w:ilvl w:val="2"/>
          <w:numId w:val="1"/>
        </w:numPr>
      </w:pPr>
      <w:r>
        <w:t>Motivation &amp; Motive</w:t>
      </w:r>
    </w:p>
    <w:p w14:paraId="7E9FE743" w14:textId="77777777" w:rsidR="00ED16D7" w:rsidRDefault="0066521D">
      <w:pPr>
        <w:numPr>
          <w:ilvl w:val="2"/>
          <w:numId w:val="1"/>
        </w:numPr>
      </w:pPr>
      <w:r>
        <w:t>Temporality</w:t>
      </w:r>
    </w:p>
    <w:p w14:paraId="5777DE77" w14:textId="77777777" w:rsidR="00ED16D7" w:rsidRDefault="0066521D">
      <w:pPr>
        <w:ind w:left="1440"/>
      </w:pPr>
      <w:r>
        <w:lastRenderedPageBreak/>
        <w:t>The above will have</w:t>
      </w:r>
      <w:r>
        <w:t xml:space="preserve"> corresponding Committee Notes as per the following graphic.</w:t>
      </w:r>
    </w:p>
    <w:p w14:paraId="2C9E4F14" w14:textId="77777777" w:rsidR="00ED16D7" w:rsidRDefault="0066521D">
      <w:pPr>
        <w:numPr>
          <w:ilvl w:val="1"/>
          <w:numId w:val="1"/>
        </w:numPr>
      </w:pPr>
      <w:r>
        <w:t>Committee Note on Open Repository User Manuals</w:t>
      </w:r>
    </w:p>
    <w:p w14:paraId="504C6F8E" w14:textId="77777777" w:rsidR="00ED16D7" w:rsidRDefault="0066521D">
      <w:pPr>
        <w:numPr>
          <w:ilvl w:val="2"/>
          <w:numId w:val="1"/>
        </w:numPr>
      </w:pPr>
      <w:r>
        <w:t>As Contributors</w:t>
      </w:r>
    </w:p>
    <w:p w14:paraId="1F608AC2" w14:textId="77777777" w:rsidR="00ED16D7" w:rsidRDefault="0066521D">
      <w:pPr>
        <w:numPr>
          <w:ilvl w:val="2"/>
          <w:numId w:val="1"/>
        </w:numPr>
      </w:pPr>
      <w:r>
        <w:t>As Consumers</w:t>
      </w:r>
    </w:p>
    <w:p w14:paraId="55B7E4BB" w14:textId="77777777" w:rsidR="00ED16D7" w:rsidRDefault="0066521D">
      <w:pPr>
        <w:ind w:left="720"/>
      </w:pPr>
      <w:r>
        <w:rPr>
          <w:noProof/>
        </w:rPr>
        <w:drawing>
          <wp:inline distT="114300" distB="114300" distL="114300" distR="114300" wp14:anchorId="5DC46977" wp14:editId="530EEDD8">
            <wp:extent cx="5731200" cy="4203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CEB2E1" w14:textId="77777777" w:rsidR="00ED16D7" w:rsidRDefault="0066521D">
      <w:pPr>
        <w:ind w:left="1440"/>
      </w:pPr>
      <w:r>
        <w:t>Other working and living documents will be generated by the TC to facilitate the creation of the Specification and Co</w:t>
      </w:r>
      <w:r>
        <w:t>mmittee Notes.</w:t>
      </w:r>
      <w:r>
        <w:br/>
      </w:r>
      <w:r>
        <w:br/>
      </w:r>
    </w:p>
    <w:p w14:paraId="36B10628" w14:textId="77777777" w:rsidR="00ED16D7" w:rsidRDefault="0066521D">
      <w:pPr>
        <w:numPr>
          <w:ilvl w:val="0"/>
          <w:numId w:val="1"/>
        </w:numPr>
      </w:pPr>
      <w:r>
        <w:rPr>
          <w:color w:val="0A2540"/>
        </w:rPr>
        <w:t>IPR Mode</w:t>
      </w:r>
      <w:r>
        <w:rPr>
          <w:color w:val="0A2540"/>
        </w:rPr>
        <w:br/>
        <w:t xml:space="preserve">This TC will operate under the </w:t>
      </w:r>
      <w:hyperlink r:id="rId7" w:anchor="Non-Assertion-Mode">
        <w:r>
          <w:rPr>
            <w:color w:val="2248E5"/>
            <w:u w:val="single"/>
          </w:rPr>
          <w:t>Non-Assertion IPR mode</w:t>
        </w:r>
      </w:hyperlink>
      <w:r>
        <w:rPr>
          <w:color w:val="0A2540"/>
        </w:rPr>
        <w:t xml:space="preserve"> as defined in Section 10.3 of the </w:t>
      </w:r>
      <w:hyperlink r:id="rId8">
        <w:r>
          <w:rPr>
            <w:color w:val="2248E5"/>
            <w:u w:val="single"/>
          </w:rPr>
          <w:t>OASIS IPR Policy document</w:t>
        </w:r>
      </w:hyperlink>
      <w:r>
        <w:rPr>
          <w:color w:val="0A2540"/>
        </w:rPr>
        <w:t>.</w:t>
      </w:r>
      <w:r>
        <w:rPr>
          <w:color w:val="0A2540"/>
        </w:rPr>
        <w:br/>
      </w:r>
      <w:r>
        <w:rPr>
          <w:color w:val="0A2540"/>
        </w:rPr>
        <w:br/>
      </w:r>
    </w:p>
    <w:p w14:paraId="4045EAA6" w14:textId="77777777" w:rsidR="00ED16D7" w:rsidRDefault="0066521D">
      <w:pPr>
        <w:numPr>
          <w:ilvl w:val="0"/>
          <w:numId w:val="1"/>
        </w:numPr>
      </w:pPr>
      <w:r>
        <w:t>Audience</w:t>
      </w:r>
      <w:r>
        <w:br/>
        <w:t>The OASIS Members of the TAC TC seek to:</w:t>
      </w:r>
    </w:p>
    <w:p w14:paraId="5547AC08" w14:textId="77777777" w:rsidR="00ED16D7" w:rsidRDefault="0066521D">
      <w:pPr>
        <w:numPr>
          <w:ilvl w:val="1"/>
          <w:numId w:val="1"/>
        </w:numPr>
      </w:pPr>
      <w:r>
        <w:t xml:space="preserve">shape the dialogue on the context of </w:t>
      </w:r>
      <w:proofErr w:type="gramStart"/>
      <w:r>
        <w:t>adversaries</w:t>
      </w:r>
      <w:proofErr w:type="gramEnd"/>
    </w:p>
    <w:p w14:paraId="399FA4EB" w14:textId="77777777" w:rsidR="00ED16D7" w:rsidRDefault="0066521D">
      <w:pPr>
        <w:numPr>
          <w:ilvl w:val="1"/>
          <w:numId w:val="1"/>
        </w:numPr>
      </w:pPr>
      <w:r>
        <w:t xml:space="preserve">advance the representation used for the </w:t>
      </w:r>
      <w:proofErr w:type="gramStart"/>
      <w:r>
        <w:t>context</w:t>
      </w:r>
      <w:proofErr w:type="gramEnd"/>
      <w:r>
        <w:t xml:space="preserve"> </w:t>
      </w:r>
    </w:p>
    <w:p w14:paraId="3C86A86F" w14:textId="77777777" w:rsidR="00ED16D7" w:rsidRDefault="0066521D">
      <w:pPr>
        <w:numPr>
          <w:ilvl w:val="1"/>
          <w:numId w:val="1"/>
        </w:numPr>
      </w:pPr>
      <w:r>
        <w:t xml:space="preserve">contribute </w:t>
      </w:r>
      <w:r>
        <w:t xml:space="preserve">to the Open </w:t>
      </w:r>
      <w:proofErr w:type="gramStart"/>
      <w:r>
        <w:t>Repositories</w:t>
      </w:r>
      <w:proofErr w:type="gramEnd"/>
    </w:p>
    <w:p w14:paraId="14F874BB" w14:textId="77777777" w:rsidR="00ED16D7" w:rsidRDefault="0066521D">
      <w:pPr>
        <w:ind w:left="1440"/>
      </w:pPr>
      <w:r>
        <w:br/>
      </w:r>
    </w:p>
    <w:p w14:paraId="1AA2EB93" w14:textId="77777777" w:rsidR="00ED16D7" w:rsidRDefault="0066521D">
      <w:pPr>
        <w:numPr>
          <w:ilvl w:val="0"/>
          <w:numId w:val="1"/>
        </w:numPr>
      </w:pPr>
      <w:r>
        <w:t>The Contributors and Consumers of the TAC Open Repository will be:</w:t>
      </w:r>
    </w:p>
    <w:p w14:paraId="77341E5F" w14:textId="77777777" w:rsidR="00ED16D7" w:rsidRDefault="0066521D">
      <w:pPr>
        <w:numPr>
          <w:ilvl w:val="1"/>
          <w:numId w:val="1"/>
        </w:numPr>
      </w:pPr>
      <w:r>
        <w:t xml:space="preserve">government agencies protecting their information </w:t>
      </w:r>
      <w:proofErr w:type="gramStart"/>
      <w:r>
        <w:t>assets</w:t>
      </w:r>
      <w:proofErr w:type="gramEnd"/>
    </w:p>
    <w:p w14:paraId="257E16A7" w14:textId="77777777" w:rsidR="00ED16D7" w:rsidRDefault="0066521D">
      <w:pPr>
        <w:numPr>
          <w:ilvl w:val="1"/>
          <w:numId w:val="1"/>
        </w:numPr>
      </w:pPr>
      <w:r>
        <w:t xml:space="preserve">Not-for-Profit and Non-Governmental Organizations (NGOs) protecting their information </w:t>
      </w:r>
      <w:proofErr w:type="gramStart"/>
      <w:r>
        <w:t>assets</w:t>
      </w:r>
      <w:proofErr w:type="gramEnd"/>
    </w:p>
    <w:p w14:paraId="7137CD1F" w14:textId="77777777" w:rsidR="00ED16D7" w:rsidRDefault="0066521D">
      <w:pPr>
        <w:numPr>
          <w:ilvl w:val="1"/>
          <w:numId w:val="1"/>
        </w:numPr>
      </w:pPr>
      <w:r>
        <w:t xml:space="preserve">companies protecting their information </w:t>
      </w:r>
      <w:proofErr w:type="gramStart"/>
      <w:r>
        <w:t>assets</w:t>
      </w:r>
      <w:proofErr w:type="gramEnd"/>
    </w:p>
    <w:p w14:paraId="04C510E8" w14:textId="77777777" w:rsidR="00ED16D7" w:rsidRDefault="0066521D">
      <w:pPr>
        <w:numPr>
          <w:ilvl w:val="1"/>
          <w:numId w:val="1"/>
        </w:numPr>
      </w:pPr>
      <w:r>
        <w:t xml:space="preserve">academic institutions and think tanks conducting research on threat actors, campaigns and intrusion </w:t>
      </w:r>
      <w:proofErr w:type="gramStart"/>
      <w:r>
        <w:t>sets</w:t>
      </w:r>
      <w:proofErr w:type="gramEnd"/>
    </w:p>
    <w:p w14:paraId="17264477" w14:textId="77777777" w:rsidR="00ED16D7" w:rsidRDefault="0066521D">
      <w:pPr>
        <w:numPr>
          <w:ilvl w:val="1"/>
          <w:numId w:val="1"/>
        </w:numPr>
      </w:pPr>
      <w:r>
        <w:lastRenderedPageBreak/>
        <w:t xml:space="preserve">students conducting research on patterns of </w:t>
      </w:r>
      <w:proofErr w:type="spellStart"/>
      <w:r>
        <w:t>behavior</w:t>
      </w:r>
      <w:proofErr w:type="spellEnd"/>
      <w:r>
        <w:t xml:space="preserve"> of threat actors</w:t>
      </w:r>
      <w:r>
        <w:br/>
      </w:r>
      <w:r>
        <w:br/>
      </w:r>
    </w:p>
    <w:p w14:paraId="321D34D7" w14:textId="77777777" w:rsidR="00ED16D7" w:rsidRDefault="0066521D">
      <w:pPr>
        <w:numPr>
          <w:ilvl w:val="0"/>
          <w:numId w:val="1"/>
        </w:numPr>
      </w:pPr>
      <w:r>
        <w:t>Language</w:t>
      </w:r>
      <w:r>
        <w:br/>
      </w:r>
      <w:r>
        <w:br/>
        <w:t>The primary language of</w:t>
      </w:r>
      <w:r>
        <w:t xml:space="preserve"> the TAC TC will be English.</w:t>
      </w:r>
    </w:p>
    <w:p w14:paraId="2580EB02" w14:textId="77777777" w:rsidR="00ED16D7" w:rsidRDefault="00ED16D7"/>
    <w:sectPr w:rsidR="00ED16D7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565D"/>
    <w:multiLevelType w:val="multilevel"/>
    <w:tmpl w:val="0F1AD7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A254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0A254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color w:val="0A2540"/>
        <w:sz w:val="24"/>
        <w:szCs w:val="24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color w:val="0A254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D7"/>
    <w:rsid w:val="0066521D"/>
    <w:rsid w:val="00E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A365"/>
  <w15:docId w15:val="{E3FCC9A7-9FFC-4BDC-B757-54A0F7B8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left" w:pos="851"/>
      </w:tabs>
      <w:spacing w:after="600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540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24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is-open.org/policies-guidelines/ip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sis-open.org/policies-guidelines/i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asis-open.org/resources/open-repositories/fa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Ginn</dc:creator>
  <cp:lastModifiedBy>Jane Ginn</cp:lastModifiedBy>
  <cp:revision>2</cp:revision>
  <dcterms:created xsi:type="dcterms:W3CDTF">2021-04-21T20:19:00Z</dcterms:created>
  <dcterms:modified xsi:type="dcterms:W3CDTF">2021-04-21T20:19:00Z</dcterms:modified>
</cp:coreProperties>
</file>